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Malgun Gothic" w:hAnsi="Malgun Gothic"/>
          <w:b/>
          <w:color w:val="007791"/>
          <w:sz w:val="18"/>
        </w:rPr>
        <w:t>SMARTFARM HMI SYSTEM  |  시스템 설계 및 개발자 매뉴얼  |  v1.1</w:t>
      </w:r>
    </w:p>
    <w:p>
      <w:pPr>
        <w:spacing w:before="80" w:after="120"/>
      </w:pPr>
      <w:r>
        <w:rPr>
          <w:rFonts w:ascii="Malgun Gothic" w:hAnsi="Malgun Gothic"/>
          <w:b/>
          <w:color w:val="1B365D"/>
          <w:sz w:val="44"/>
        </w:rPr>
        <w:t>스마트팜 HMI 시스템 개발 매뉴얼</w:t>
      </w:r>
    </w:p>
    <w:p>
      <w:pPr>
        <w:spacing w:before="0" w:after="280"/>
      </w:pPr>
      <w:r>
        <w:rPr>
          <w:rFonts w:ascii="Malgun Gothic" w:hAnsi="Malgun Gothic"/>
          <w:color w:val="555555"/>
          <w:sz w:val="22"/>
        </w:rPr>
        <w:t>시스템 아키텍처, 소스코드 구조, MQTT 비동기 프로토콜, 룰/관수 엔진 및 빌드 가이드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216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문서명</w:t>
            </w:r>
          </w:p>
        </w:tc>
        <w:tc>
          <w:tcPr>
            <w:tcW w:type="dxa" w:w="288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시스템명</w:t>
            </w:r>
          </w:p>
        </w:tc>
        <w:tc>
          <w:tcPr>
            <w:tcW w:type="dxa" w:w="2016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버전 / 작성일</w:t>
            </w:r>
          </w:p>
        </w:tc>
        <w:tc>
          <w:tcPr>
            <w:tcW w:type="dxa" w:w="2304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1B365D"/>
                <w:sz w:val="17"/>
              </w:rPr>
              <w:t>대상 플랫폼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시스템 설계 및 개발자 매뉴얼</w:t>
            </w:r>
          </w:p>
        </w:tc>
        <w:tc>
          <w:tcPr>
            <w:tcW w:type="dxa" w:w="288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SmartFarmHMI (FMX Multi-Platform)</w:t>
            </w:r>
          </w:p>
        </w:tc>
        <w:tc>
          <w:tcPr>
            <w:tcW w:type="dxa" w:w="2016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v1.1 (2026년 8월)</w:t>
            </w:r>
          </w:p>
        </w:tc>
        <w:tc>
          <w:tcPr>
            <w:tcW w:type="dxa" w:w="230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color w:val="333333"/>
                <w:sz w:val="17"/>
              </w:rPr>
              <w:t>Windows, Android, iOS, macOS, Linux</w:t>
            </w:r>
          </w:p>
        </w:tc>
      </w:tr>
    </w:tbl>
    <w:p>
      <w:pPr>
        <w:spacing w:after="240"/>
      </w:pP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제1장 개발 환경 및 기술 스택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1.1 개발 도구 및 프레임워크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본 시스템은 크로스 플랫폼 네이티브 GUI 컴파일을 위해 Embarcadero Delphi 및 FireMonkey(FMX) 프레임워크를 기반으로 개발되었습니다.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3216"/>
        <w:gridCol w:w="3216"/>
        <w:gridCol w:w="3216"/>
      </w:tblGrid>
      <w:tr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3168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선정 기술 / 도구</w:t>
            </w:r>
          </w:p>
        </w:tc>
        <w:tc>
          <w:tcPr>
            <w:tcW w:type="dxa" w:w="360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버전 및 세부 사양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통합 개발 환경 (IDE)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Embarcadero RAD Studio / Delphi</w:t>
            </w:r>
          </w:p>
        </w:tc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Delphi 11.3 Alexandria / Delphi 12 Athens 이상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UI 프레임워크</w:t>
            </w:r>
          </w:p>
        </w:tc>
        <w:tc>
          <w:tcPr>
            <w:tcW w:type="dxa" w:w="31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FireMonkey (FMX)</w:t>
            </w:r>
          </w:p>
        </w:tc>
        <w:tc>
          <w:tcPr>
            <w:tcW w:type="dxa" w:w="360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GPU 하드웨어 가속 기반 멀티 디바이스 GUI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통신 컴포넌트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Indy 10 (Internet Direct)</w:t>
            </w:r>
          </w:p>
        </w:tc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IdTCPClient, IdIOHandler, IdGlobal 기반 MQTT 통신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데이터 직렬화</w:t>
            </w:r>
          </w:p>
        </w:tc>
        <w:tc>
          <w:tcPr>
            <w:tcW w:type="dxa" w:w="31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System.JSON, System.IniFiles</w:t>
            </w:r>
          </w:p>
        </w:tc>
        <w:tc>
          <w:tcPr>
            <w:tcW w:type="dxa" w:w="360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JSON 메시지 송수신 및 INI 로컬 설정 영속화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OS 파일/경로 처리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System.IOUtils</w:t>
            </w:r>
          </w:p>
        </w:tc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TPath, TFile, TDirectory 기반 크로스플랫폼 파일 I/O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비디오 스트리밍</w:t>
            </w:r>
          </w:p>
        </w:tc>
        <w:tc>
          <w:tcPr>
            <w:tcW w:type="dxa" w:w="3168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MPV / RTSP 라이브러리</w:t>
            </w:r>
          </w:p>
        </w:tc>
        <w:tc>
          <w:tcPr>
            <w:tcW w:type="dxa" w:w="360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VCL RTSP 뷰어 및 FMX 미디어 컨트롤</w:t>
            </w:r>
          </w:p>
        </w:tc>
      </w:tr>
    </w:tbl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1.2 타겟 플랫폼 컴파일 구성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Delphi FMX의 단일 코드베이스(Single Codebase) 아키텍처를 통해 하나의 소스코드로 다음 타겟 플랫폼 바이너리를 직접 빌드합니다: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• Windows:</w:t>
      </w:r>
      <w:r>
        <w:rPr>
          <w:rFonts w:ascii="Malgun Gothic" w:hAnsi="Malgun Gothic"/>
          <w:color w:val="333333"/>
          <w:sz w:val="19"/>
        </w:rPr>
        <w:t xml:space="preserve"> Windows 32-bit (Win32) 및 Windows 64-bit (Win64) x86/x64 네이티브 실행 파일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• Android:</w:t>
      </w:r>
      <w:r>
        <w:rPr>
          <w:rFonts w:ascii="Malgun Gothic" w:hAnsi="Malgun Gothic"/>
          <w:color w:val="333333"/>
          <w:sz w:val="19"/>
        </w:rPr>
        <w:t xml:space="preserve"> Android 32-bit (armeabi-v7a) 및 64-bit (arm64-v8a) APK / AAB 패키지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• macOS:</w:t>
      </w:r>
      <w:r>
        <w:rPr>
          <w:rFonts w:ascii="Malgun Gothic" w:hAnsi="Malgun Gothic"/>
          <w:color w:val="333333"/>
          <w:sz w:val="19"/>
        </w:rPr>
        <w:t xml:space="preserve"> macOS 64-bit Intel 및 Apple Silicon (ARM64) 유니버설 앱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• Linux:</w:t>
      </w:r>
      <w:r>
        <w:rPr>
          <w:rFonts w:ascii="Malgun Gothic" w:hAnsi="Malgun Gothic"/>
          <w:color w:val="333333"/>
          <w:sz w:val="19"/>
        </w:rPr>
        <w:t xml:space="preserve"> Linux 64-bit (Ubuntu/Debian 등) 서버 및 임베디드 런타임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제2장 프로젝트 구조 및 소스 파일 구성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2.1 소스 디렉터리 구성 트리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360"/>
            <w:shd w:fill="F8F9FA"/>
            <w:tcMar>
              <w:top w:w="100" w:type="dxa"/>
              <w:bottom w:w="100" w:type="dxa"/>
              <w:left w:w="140" w:type="dxa"/>
              <w:right w:w="140" w:type="dxa"/>
            </w:tcMar>
            <w:tcBorders>
              <w:top w:val="single" w:sz="4" w:space="0" w:color="E0E0E0"/>
              <w:left w:val="single" w:sz="16" w:space="0" w:color="4A90E2"/>
              <w:bottom w:val="single" w:sz="4" w:space="0" w:color="E0E0E0"/>
              <w:right w:val="single" w:sz="4" w:space="0" w:color="E0E0E0"/>
            </w:tcBorders>
          </w:tcPr>
          <w:p>
            <w:pPr>
              <w:spacing w:before="40" w:after="40" w:line="264" w:lineRule="auto"/>
            </w:pPr>
            <w:r>
              <w:rPr>
                <w:rFonts w:ascii="Consolas" w:hAnsi="Consolas"/>
                <w:color w:val="222222"/>
                <w:sz w:val="17"/>
              </w:rPr>
              <w:t>SmartFarmHMI_SOURCE/</w:t>
              <w:br/>
              <w:t>├── SmartFarmHMI_FMX/               # 메인 FMX 멀티플랫폼 프로젝트</w:t>
              <w:br/>
              <w:t>│   ├── SmartFarmHMI.dpr            # 프로그램 진입점 (메인 프로젝트 파일)</w:t>
              <w:br/>
              <w:t>│   ├── SmartFarmHMI.dproj          # RAD Studio 프로젝트 설정 및 빌드 옵션</w:t>
              <w:br/>
              <w:t>│   ├── UMain.pas / UMain.fmx       # 메인 폼, UI 레이아웃, 대시보드, 전체 이벤트 제어</w:t>
              <w:br/>
              <w:t>│   ├── UMQTTClient.pas             # 커스텀 경량 비동기 MQTT v3.1.1 클라이언트 유닛</w:t>
              <w:br/>
              <w:t>│   ├── UAutoControl.pas            # 자동 운전 및 관수 제어 자료구조/타입 정의</w:t>
              <w:br/>
              <w:t>│   ├── UAutoControl_Impl.inc       # TfrmMain 자동 운전 룰 엔진 구현 인클루드 파일</w:t>
              <w:br/>
              <w:t>│   ├── UIrrigation_Impl.inc        # TfrmMain 순차 관수 스케줄러 구현 인클루드 파일</w:t>
              <w:br/>
              <w:t>│   ├── AndroidManifest.template.xml# 안드로이드 권한 및 메타데이터 템플릿</w:t>
              <w:br/>
              <w:t>│   └── Artwork/                    # 앱 아이콘 및 스플래시 이미지 리소스</w:t>
              <w:br/>
              <w:t>├── SmartFarmHMI_VCL_RTSP_/          # Windows 전용 고성능 VCL RTSP/CCTV 뷰어</w:t>
              <w:br/>
              <w:t>│   ├── SmartFarmHMI_VCL_RTSP.dpr   # RTSP 독립 플레이어 프로젝트</w:t>
              <w:br/>
              <w:t>│   ├── UMainRTSP.pas / .dfm        # RTSP 스트리밍 폼</w:t>
              <w:br/>
              <w:t>│   └── MPVClient.pas / MPV*.pas    # LibMPV 기반 하드웨어 가속 비디오 렌더러</w:t>
              <w:br/>
              <w:t>└── docs/                           # 운영 및 개발 매뉴얼 문서 폴더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2.2 주요 소스 파일 역할 및 의존 관계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3216"/>
        <w:gridCol w:w="3216"/>
        <w:gridCol w:w="3216"/>
      </w:tblGrid>
      <w:tr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소스 파일명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소속 모듈</w:t>
            </w:r>
          </w:p>
        </w:tc>
        <w:tc>
          <w:tcPr>
            <w:tcW w:type="dxa" w:w="4176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핵심 구현 내용 및 책임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UMain.pas / .fmx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메인 컨트롤러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UI 뷰 라이프사이클, 위젯 동적 생성, 타이머 루프, 설정 저장, 언어 전환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UMQTTClient.pas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통신 계층</w:t>
            </w:r>
          </w:p>
        </w:tc>
        <w:tc>
          <w:tcPr>
            <w:tcW w:type="dxa" w:w="417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소켓 레벨 MQTT 패킷 인코딩/디코딩, 백그라운드 수신 스레드, 송신 큐, Keep-Alive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UAutoControl.pas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데이터 모델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자동 룰 및 관수 스케줄의 레코드, Enum, 비교 연산자 정의</w:t>
            </w:r>
          </w:p>
        </w:tc>
      </w:tr>
      <w:tr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UAutoControl_Impl.inc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룰 엔진</w:t>
            </w:r>
          </w:p>
        </w:tc>
        <w:tc>
          <w:tcPr>
            <w:tcW w:type="dxa" w:w="417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센서 임계값 비교, 다중 조건(AND/OR) 평가, 스케줄 On/Off 반복 제어 구현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UIrrigation_Impl.inc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관수 엔진</w:t>
            </w:r>
          </w:p>
        </w:tc>
        <w:tc>
          <w:tcPr>
            <w:tcW w:type="dxa" w:w="417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구역별 순차 관수 FSM, 쿨다운 타이머, 유량계 펄스 적산 계산 구현</w:t>
            </w:r>
          </w:p>
        </w:tc>
      </w:tr>
    </w:tbl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제3장 핵심 아키텍처 및 모듈 상세 분석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3.1 메인 UI 및 위젯 동적 생성 시스템 (UMain.pas)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메인 폼은 고정된 정적 컴포넌트 배치가 아닌, 노드 설정 배열(FNodeConfigs)에 따라 실행 시 동적으로 위젯(TSensorWidget, TControlWidget)을 생성하여 FlowLayout에 자동 배치하는 반응형 구조를 가집니다.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위젯 동적 빌드:</w:t>
      </w:r>
      <w:r>
        <w:rPr>
          <w:rFonts w:ascii="Malgun Gothic" w:hAnsi="Malgun Gothic"/>
          <w:color w:val="333333"/>
          <w:sz w:val="19"/>
        </w:rPr>
        <w:t xml:space="preserve"> FormCreate 시점에 INI 파일에서 노드 설정 및 통신 설정을 로드하고, InUse=True인 노드에 대해 AddSensor() 또는 AddControl()을 호출하여 위젯을 인스턴스화합니다.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반응형 레이아웃:</w:t>
      </w:r>
      <w:r>
        <w:rPr>
          <w:rFonts w:ascii="Malgun Gothic" w:hAnsi="Malgun Gothic"/>
          <w:color w:val="333333"/>
          <w:sz w:val="19"/>
        </w:rPr>
        <w:t xml:space="preserve"> 폼 크기 변경 이벤트(FormResize) 발생 시 디바이스 해상도에 맞춰 그리드 열 수와 위젯 크기를 재계산하여 PC, 태블릿, 모바일 화면에 최적 대응합니다.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화면 관리자:</w:t>
      </w:r>
      <w:r>
        <w:rPr>
          <w:rFonts w:ascii="Malgun Gothic" w:hAnsi="Malgun Gothic"/>
          <w:color w:val="333333"/>
          <w:sz w:val="19"/>
        </w:rPr>
        <w:t xml:space="preserve"> SwitchScreen(Index) 메서드를 통해 Dashboard(0), NodeSettings(1), CCTVSettings(2), CCTVViewer(3), AutoControl(4), Logs(5), Irrigation(6) 간 화면을 부드럽게 전환합니다.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3.2 경량 비동기 MQTT v3.1.1 클라이언트 (UMQTTClient.pas)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외부 무거운 라이브러리 종속성 없이 Indy 10 IdTCPClient 위에 순수 바이너리 패킷 수준으로 자체 구현된 고성능 비동기 MQTT 클라이언트입니다.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360"/>
            <w:shd w:fill="F8F9FA"/>
            <w:tcMar>
              <w:top w:w="100" w:type="dxa"/>
              <w:bottom w:w="100" w:type="dxa"/>
              <w:left w:w="140" w:type="dxa"/>
              <w:right w:w="140" w:type="dxa"/>
            </w:tcMar>
            <w:tcBorders>
              <w:top w:val="single" w:sz="4" w:space="0" w:color="E0E0E0"/>
              <w:left w:val="single" w:sz="16" w:space="0" w:color="4A90E2"/>
              <w:bottom w:val="single" w:sz="4" w:space="0" w:color="E0E0E0"/>
              <w:right w:val="single" w:sz="4" w:space="0" w:color="E0E0E0"/>
            </w:tcBorders>
          </w:tcPr>
          <w:p>
            <w:pPr>
              <w:spacing w:before="40" w:after="40" w:line="264" w:lineRule="auto"/>
            </w:pPr>
            <w:r>
              <w:rPr>
                <w:rFonts w:ascii="Consolas" w:hAnsi="Consolas"/>
                <w:color w:val="222222"/>
                <w:sz w:val="17"/>
              </w:rPr>
              <w:t>// UMQTTClient.pas 핵심 클래스 구조</w:t>
              <w:br/>
              <w:t>type</w:t>
              <w:br/>
              <w:t xml:space="preserve">  TMQTTMessageEvent = procedure(const ATopic, APayload: string) of object;</w:t>
              <w:br/>
              <w:t xml:space="preserve">  TMQTTStatusEvent  = procedure(AConnected: Boolean) of object;</w:t>
              <w:br/>
              <w:br/>
              <w:t xml:space="preserve">  TMQTTClient = class</w:t>
              <w:br/>
              <w:t xml:space="preserve">  private</w:t>
              <w:br/>
              <w:t xml:space="preserve">    FTCPClient       : TIdTCPClient;</w:t>
              <w:br/>
              <w:t xml:space="preserve">    FRecvThread      : TMQTTRecvThread;      // 백그라운드 수신 전용 스레드</w:t>
              <w:br/>
              <w:t xml:space="preserve">    FSendQueue       : TList&lt;TIdBytes&gt;;       // 스레드 안전 송신 패킷 큐</w:t>
              <w:br/>
              <w:t xml:space="preserve">    FSendLock        : TCriticalSection;      // 큐 동기화 락</w:t>
              <w:br/>
              <w:t xml:space="preserve">    FSubscribeTopics : TStringList;          // 등록된 구독 토픽 목록</w:t>
              <w:br/>
              <w:t xml:space="preserve">    FKeepAlive       : Word;                 // PING 주기 (기본 60초)</w:t>
              <w:br/>
              <w:t xml:space="preserve">    ...</w:t>
              <w:br/>
              <w:t xml:space="preserve">  public</w:t>
              <w:br/>
              <w:t xml:space="preserve">    procedure Connect;</w:t>
              <w:br/>
              <w:t xml:space="preserve">    procedure Disconnect;</w:t>
              <w:br/>
              <w:t xml:space="preserve">    procedure Subscribe(const ATopic: string);</w:t>
              <w:br/>
              <w:t xml:space="preserve">    procedure Publish(const ATopic, APayload: string);</w:t>
              <w:br/>
              <w:t xml:space="preserve">  end;</w:t>
            </w:r>
          </w:p>
        </w:tc>
      </w:tr>
    </w:tbl>
    <w:p>
      <w:pPr>
        <w:spacing w:after="80"/>
      </w:pP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핵심 통신 메커니즘: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1. 비동기 수신 스레드:</w:t>
      </w:r>
      <w:r>
        <w:rPr>
          <w:rFonts w:ascii="Malgun Gothic" w:hAnsi="Malgun Gothic"/>
          <w:color w:val="333333"/>
          <w:sz w:val="19"/>
        </w:rPr>
        <w:t xml:space="preserve"> MQTT 수신 루프는 TMQTTRecvThread 백그라운드 스레드에서 무한 루프로 구동되며, 패킷 수신 시 TThread.Queue(nil, ...)를 통해 UI 메인 스레드에 비동기로 안전하게 전달(FireMessage)합니다.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2. 송신 큐 동기화:</w:t>
      </w:r>
      <w:r>
        <w:rPr>
          <w:rFonts w:ascii="Malgun Gothic" w:hAnsi="Malgun Gothic"/>
          <w:color w:val="333333"/>
          <w:sz w:val="19"/>
        </w:rPr>
        <w:t xml:space="preserve"> 모든 발행(Publish) 및 구독(Subscribe) 패킷은 즉시 소켓에 쓰지 않고 FSendQueue에 적재된 후 FlushSendQueue를 통해 스레드 락(TCriticalSection) 하에서 순차 전송되어 소켓 충돌을 원천 차단합니다.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3. 하트비트(Keep-Alive):</w:t>
      </w:r>
      <w:r>
        <w:rPr>
          <w:rFonts w:ascii="Malgun Gothic" w:hAnsi="Malgun Gothic"/>
          <w:color w:val="333333"/>
          <w:sz w:val="19"/>
        </w:rPr>
        <w:t xml:space="preserve"> KeepAlive 주기의 절반(최소 10초)마다 자동으로 PINGREQ 패킷을 전송하고 PINGRESP 응답을 확인하여 세션을 유지합니다.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4. 자동 재연결:</w:t>
      </w:r>
      <w:r>
        <w:rPr>
          <w:rFonts w:ascii="Malgun Gothic" w:hAnsi="Malgun Gothic"/>
          <w:color w:val="333333"/>
          <w:sz w:val="19"/>
        </w:rPr>
        <w:t xml:space="preserve"> 소켓 예외 발생 시 자동으로 연결 해제 처리 후 재접속 루프를 반복 수행합니다.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3.3 자동 운전 룰 엔진 (UAutoControl_Impl.inc)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자동 운전 엔진은 TimerAuto(1초 주기)에 의해 실행되며, 사용자가 정의한 TAutoRule 목록을 순회 평가하여 디지털 출력(DO)을 자동 제어합니다.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1. 시간 범위 평가:</w:t>
      </w:r>
      <w:r>
        <w:rPr>
          <w:rFonts w:ascii="Malgun Gothic" w:hAnsi="Malgun Gothic"/>
          <w:color w:val="333333"/>
          <w:sz w:val="19"/>
        </w:rPr>
        <w:t xml:space="preserve"> 현재 시각이 StartHH:StartMM ~ EndHH:EndMM 범위에 포함되는지 검사합니다. 야간(자정 넘김) 조건도 완벽하게 지원합니다.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2. 다중 조건식 평가 (EvalCondition):</w:t>
      </w:r>
      <w:r>
        <w:rPr>
          <w:rFonts w:ascii="Malgun Gothic" w:hAnsi="Malgun Gothic"/>
          <w:color w:val="333333"/>
          <w:sz w:val="19"/>
        </w:rPr>
        <w:t xml:space="preserve"> 등록된 조건 배열(Conditions)을 순회하며 acoGT(&gt;), acoLT(&lt;), acoEQ(=) 수치 비교 및 acoON/acoOFF 접점 비교를 수행하고, CondMode(acmAND / acmOR)에 따라 최종 참/거짓을 판정합니다.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3. 작동/휴식 반복 타이머:</w:t>
      </w:r>
      <w:r>
        <w:rPr>
          <w:rFonts w:ascii="Malgun Gothic" w:hAnsi="Malgun Gothic"/>
          <w:color w:val="333333"/>
          <w:sz w:val="19"/>
        </w:rPr>
        <w:t xml:space="preserve"> UseSchedule=True인 경우, 조건 충족 상태에서 WorkMinutes(가동) 및 RestMinutes(휴식) 타이머 틱을 계산하여 주기적 On/Off 반복 제어를 실행합니다.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4. 중복 전송 방지:</w:t>
      </w:r>
      <w:r>
        <w:rPr>
          <w:rFonts w:ascii="Malgun Gothic" w:hAnsi="Malgun Gothic"/>
          <w:color w:val="333333"/>
          <w:sz w:val="19"/>
        </w:rPr>
        <w:t xml:space="preserve"> WasActive 상태 플래그를 두어 상태가 실제로 변경될 때만 MQTT PublishControl()을 호출하므로 불필요한 네트워크 트래픽을 방지합니다.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3.4 순차 관수 스케줄러 엔진 (UIrrigation_Impl.inc)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순차 관수 엔진은 여러 관수 구역을 지정된 조건과 순서대로 제어하는 상태 머신(Finite State Machine)으로 동작합니다.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FSM 상태 전이 흐름:</w:t>
      </w:r>
      <w:r>
        <w:rPr>
          <w:rFonts w:ascii="Malgun Gothic" w:hAnsi="Malgun Gothic"/>
          <w:color w:val="333333"/>
          <w:sz w:val="19"/>
        </w:rPr>
        <w:t xml:space="preserve"> 1) 대기(Idle) -&gt; 2) 트리거 시각 도달 -&gt; 3) 구역 진입 &amp; 시작조건 검사 -&gt; 4) DO 밸브 개방(관수 시작) -&gt; 5) 정지조건 달성 -&gt; 6) 쿨다운 대기 -&gt; 7) 종료조건/타임아웃 판정 -&gt; 8) 다음 구역 이동 -&gt; 9) 전 구역 완료 후 대기 복귀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유량 적산 계산 알고리즘:</w:t>
      </w:r>
      <w:r>
        <w:rPr>
          <w:rFonts w:ascii="Malgun Gothic" w:hAnsi="Malgun Gothic"/>
          <w:color w:val="333333"/>
          <w:sz w:val="19"/>
        </w:rPr>
        <w:t xml:space="preserve"> DI 유량계 펄스 입력 수신 시 이전 기준값(BaseValue)과의 차이를 계산하고, PerPulse 계수를 곱하여 실시간 유량(L 또는 Kg)을 산출하여 정지/종료 조건을 평가합니다.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안전 방어 로직:</w:t>
      </w:r>
      <w:r>
        <w:rPr>
          <w:rFonts w:ascii="Malgun Gothic" w:hAnsi="Malgun Gothic"/>
          <w:color w:val="333333"/>
          <w:sz w:val="19"/>
        </w:rPr>
        <w:t xml:space="preserve"> TimeoutMin 설정 시 해당 시간 초과 시 다음 구역으로 강제 스킵하여 밸브 고착으로 인한 침수 사고를 예방합니다.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3.5 MQTT 통신 프로토콜 상세 명세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스마트팜 HMI와 게이트웨이 간 교환되는 토픽 및 JSON 메시지 규격은 다음과 같습니다: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0D7DE"/>
          <w:bottom w:val="single" w:sz="6" w:space="0" w:color="D0D7DE"/>
          <w:left w:val="none"/>
          <w:right w:val="none"/>
          <w:insideH w:val="single" w:sz="6" w:space="0" w:color="D0D7DE"/>
          <w:insideV w:val="none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216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토픽 규격</w:t>
            </w:r>
          </w:p>
        </w:tc>
        <w:tc>
          <w:tcPr>
            <w:tcW w:type="dxa" w:w="259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페이로드 포맷 예시</w:t>
            </w:r>
          </w:p>
        </w:tc>
        <w:tc>
          <w:tcPr>
            <w:tcW w:type="dxa" w:w="2016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Malgun Gothic" w:hAnsi="Malgun Gothic"/>
                <w:b/>
                <w:color w:val="FFFFFF"/>
                <w:sz w:val="18"/>
              </w:rPr>
              <w:t>설명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센서 데이터 수신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{HEAD}PUB/{TAIL}{GW_ID}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{"TM":"24.5|23.8","HM":"65.2"}</w:t>
            </w:r>
          </w:p>
        </w:tc>
        <w:tc>
          <w:tcPr>
            <w:tcW w:type="dxa" w:w="201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게이트웨이 -&gt; HMI 센서 측정값 보고</w:t>
            </w:r>
          </w:p>
        </w:tc>
      </w:tr>
      <w:tr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DO 상태 수신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{HEAD}PUB/{TAIL}{GW_ID}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{"DO":"1|0|0|1|0..."}</w:t>
            </w:r>
          </w:p>
        </w:tc>
        <w:tc>
          <w:tcPr>
            <w:tcW w:type="dxa" w:w="201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게이트웨이 -&gt; HMI 릴레이 출력 상태 보고</w:t>
            </w:r>
          </w:p>
        </w:tc>
      </w:tr>
      <w:tr>
        <w:tc>
          <w:tcPr>
            <w:tcW w:type="dxa" w:w="216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DI 접점 수신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{HEAD}PUB/{TAIL}{GW_ID}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{"DI":"0|1|0|0..."}</w:t>
            </w:r>
          </w:p>
        </w:tc>
        <w:tc>
          <w:tcPr>
            <w:tcW w:type="dxa" w:w="201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게이트웨이 -&gt; HMI 접점/펄스 상태 보고</w:t>
            </w:r>
          </w:p>
        </w:tc>
      </w:tr>
      <w:tr>
        <w:tc>
          <w:tcPr>
            <w:tcW w:type="dxa" w:w="2160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DO 장비 제어 송신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{HEAD}SUB/{TAIL}{GW_ID}</w:t>
            </w:r>
          </w:p>
        </w:tc>
        <w:tc>
          <w:tcPr>
            <w:tcW w:type="dxa" w:w="2592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{"DO_01":"1"}</w:t>
            </w:r>
          </w:p>
        </w:tc>
        <w:tc>
          <w:tcPr>
            <w:tcW w:type="dxa" w:w="2016"/>
            <w:shd w:fill="F8F9F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Malgun Gothic" w:hAnsi="Malgun Gothic"/>
                <w:color w:val="333333"/>
                <w:sz w:val="17"/>
              </w:rPr>
              <w:t>HMI -&gt; 게이트웨이 DO 1번 ON 명령 송신</w:t>
            </w:r>
          </w:p>
        </w:tc>
      </w:tr>
    </w:tbl>
    <w:p>
      <w:pPr>
        <w:keepNext/>
        <w:spacing w:before="160" w:after="40"/>
      </w:pPr>
      <w:r>
        <w:rPr>
          <w:rFonts w:ascii="Malgun Gothic" w:hAnsi="Malgun Gothic"/>
          <w:b/>
          <w:color w:val="333333"/>
          <w:sz w:val="20"/>
        </w:rPr>
        <w:t>파이프(|) 구분자 데이터 파싱 함수 (ParsePipeValue)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센서값 및 DI/DO 배열은 파이프(|)로 구분된 문자열로 전송되며, UMain.pas의 ParsePipeValue 함수가 지정된 인덱스의 값을 안전하게 실수(Double)로 추출합니다.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3.6 분리형 로깅 시스템 구현 (AddSystemLog)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모든 로그는 AddSystemLog 메서드를 통해 4가지 카테고리(Sensor, Control, System, Error)로 자동 분류되어 디렉터리 및 파일별로 안전하게 분리 저장됩니다.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360"/>
            <w:shd w:fill="F8F9FA"/>
            <w:tcMar>
              <w:top w:w="100" w:type="dxa"/>
              <w:bottom w:w="100" w:type="dxa"/>
              <w:left w:w="140" w:type="dxa"/>
              <w:right w:w="140" w:type="dxa"/>
            </w:tcMar>
            <w:tcBorders>
              <w:top w:val="single" w:sz="4" w:space="0" w:color="E0E0E0"/>
              <w:left w:val="single" w:sz="16" w:space="0" w:color="4A90E2"/>
              <w:bottom w:val="single" w:sz="4" w:space="0" w:color="E0E0E0"/>
              <w:right w:val="single" w:sz="4" w:space="0" w:color="E0E0E0"/>
            </w:tcBorders>
          </w:tcPr>
          <w:p>
            <w:pPr>
              <w:spacing w:before="40" w:after="40" w:line="264" w:lineRule="auto"/>
            </w:pPr>
            <w:r>
              <w:rPr>
                <w:rFonts w:ascii="Consolas" w:hAnsi="Consolas"/>
                <w:color w:val="222222"/>
                <w:sz w:val="17"/>
              </w:rPr>
              <w:t>procedure TfrmMain.AddSystemLog(const AMessage: string; const ALogType: string = 'System');</w:t>
              <w:br/>
              <w:t>var</w:t>
              <w:br/>
              <w:t xml:space="preserve">  LogDir, LogFile: string;</w:t>
              <w:br/>
              <w:t xml:space="preserve">  LogLine: string;</w:t>
              <w:br/>
              <w:t>begin</w:t>
              <w:br/>
              <w:t xml:space="preserve">  // 1. 플랫폼 독립적 홈 디렉터리 하위 전용 폴더 설정</w:t>
              <w:br/>
              <w:t xml:space="preserve">  LogDir := System.IOUtils.TPath.Combine(System.IOUtils.TPath.GetHomePath, 'SmartFarmHMI_Logs');</w:t>
              <w:br/>
              <w:t xml:space="preserve">  LogDir := System.IOUtils.TPath.Combine(LogDir, ALogType);</w:t>
              <w:br/>
              <w:t xml:space="preserve">  if not DirectoryExists(LogDir) then</w:t>
              <w:br/>
              <w:t xml:space="preserve">    ForceDirectories(LogDir);</w:t>
              <w:br/>
              <w:br/>
              <w:t xml:space="preserve">  // 2. 카테고리명_YYYYMMDD.log 파일명 생성</w:t>
              <w:br/>
              <w:t xml:space="preserve">  LogFile := System.IOUtils.TPath.Combine(LogDir, ALogType + '_' + FormatDateTime('yyyymmdd', Now) + '.log');</w:t>
              <w:br/>
              <w:br/>
              <w:t xml:space="preserve">  // 3. 타임스탬프 결합</w:t>
              <w:br/>
              <w:t xml:space="preserve">  LogLine := '[' + FormatDateTime('yyyy-mm-dd hh:nn:ss', Now) + '] ' + AMessage;</w:t>
              <w:br/>
              <w:br/>
              <w:t xml:space="preserve">  // 4. 스레드 세이프 UTF-8 추가 기록</w:t>
              <w:br/>
              <w:t xml:space="preserve">  try</w:t>
              <w:br/>
              <w:t xml:space="preserve">    System.IOUtils.TFile.AppendAllText(LogFile, LogLine + sLineBreak, TEncoding.UTF8);</w:t>
              <w:br/>
              <w:t xml:space="preserve">  except</w:t>
              <w:br/>
              <w:t xml:space="preserve">  end;</w:t>
              <w:br/>
              <w:t>end;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제4장 빌드, 디버깅 및 배포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4.1 Windows 배포 (Win32 / Win64)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1) 타겟 플랫폼 선택:</w:t>
      </w:r>
      <w:r>
        <w:rPr>
          <w:rFonts w:ascii="Malgun Gothic" w:hAnsi="Malgun Gothic"/>
          <w:color w:val="333333"/>
          <w:sz w:val="19"/>
        </w:rPr>
        <w:t xml:space="preserve"> RAD Studio Project Manager에서 Target Platforms -&gt; 32-bit Windows 또는 64-bit Windows 선택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2) 릴리즈 모드 빌드:</w:t>
      </w:r>
      <w:r>
        <w:rPr>
          <w:rFonts w:ascii="Malgun Gothic" w:hAnsi="Malgun Gothic"/>
          <w:color w:val="333333"/>
          <w:sz w:val="19"/>
        </w:rPr>
        <w:t xml:space="preserve"> Build Configurations를 'Release'로 변경하여 디버그 심볼 제거 및 최적화 활성화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3) 산출물 패키징:</w:t>
      </w:r>
      <w:r>
        <w:rPr>
          <w:rFonts w:ascii="Malgun Gothic" w:hAnsi="Malgun Gothic"/>
          <w:color w:val="333333"/>
          <w:sz w:val="19"/>
        </w:rPr>
        <w:t xml:space="preserve"> Project -&gt; Build SmartFarmHMI 실행 -&gt; Release 폴더에 생성된 단일 exe 배포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4.2 Android 배포 (ARM64 / ARM32)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1) 매니페스트 권한 확인:</w:t>
      </w:r>
      <w:r>
        <w:rPr>
          <w:rFonts w:ascii="Malgun Gothic" w:hAnsi="Malgun Gothic"/>
          <w:color w:val="333333"/>
          <w:sz w:val="19"/>
        </w:rPr>
        <w:t xml:space="preserve"> AndroidManifest.template.xml에 INTERNET, ACCESS_NETWORK_STATE, READ/WRITE_EXTERNAL_STORAGE 권한 확인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2) 배포 서명 키 설정:</w:t>
      </w:r>
      <w:r>
        <w:rPr>
          <w:rFonts w:ascii="Malgun Gothic" w:hAnsi="Malgun Gothic"/>
          <w:color w:val="333333"/>
          <w:sz w:val="19"/>
        </w:rPr>
        <w:t xml:space="preserve"> Project Options -&gt; Provisioning에서 배포용 키스토어(Keystore) 인증서 서명 설정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3) 패키징:</w:t>
      </w:r>
      <w:r>
        <w:rPr>
          <w:rFonts w:ascii="Malgun Gothic" w:hAnsi="Malgun Gothic"/>
          <w:color w:val="333333"/>
          <w:sz w:val="19"/>
        </w:rPr>
        <w:t xml:space="preserve"> Target Platforms -&gt; Android 64-bit 선택 후 Project -&gt; Deploy 실행하여 최종 APK/AAB 생성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B365D"/>
          <w:sz w:val="28"/>
        </w:rPr>
        <w:t>제5장 기능 확장 및 유지보수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5.1 신규 센서 및 노드 타입 추가 절차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Step 1: 상수 선언:</w:t>
      </w:r>
      <w:r>
        <w:rPr>
          <w:rFonts w:ascii="Malgun Gothic" w:hAnsi="Malgun Gothic"/>
          <w:color w:val="333333"/>
          <w:sz w:val="19"/>
        </w:rPr>
        <w:t xml:space="preserve"> UMain.pas 상단 상수 정의부(Init_TM, Init_HM 등)에 신규 노드 타입 수량 상수(예: Init_SOLAR = 2)를 추가합니다.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Step 2: 노드 초기화 등록:</w:t>
      </w:r>
      <w:r>
        <w:rPr>
          <w:rFonts w:ascii="Malgun Gothic" w:hAnsi="Malgun Gothic"/>
          <w:color w:val="333333"/>
          <w:sz w:val="19"/>
        </w:rPr>
        <w:t xml:space="preserve"> InitNodeConfigs 메서드 내의 SetLength 배열 크기 계산 및 AddNodes('SOLAR', '일사량', 'Solar Radiation', Init_SOLAR) 호출 코드를 추가합니다.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Step 3: 그룹 라벨 매핑:</w:t>
      </w:r>
      <w:r>
        <w:rPr>
          <w:rFonts w:ascii="Malgun Gothic" w:hAnsi="Malgun Gothic"/>
          <w:color w:val="333333"/>
          <w:sz w:val="19"/>
        </w:rPr>
        <w:t xml:space="preserve"> GetGroupName() 함수에 신규 노드 타입의 한/영 그룹 라벨 매핑 코드를 추가합니다.</w:t>
      </w:r>
    </w:p>
    <w:p>
      <w:pPr>
        <w:pStyle w:val="ListBullet"/>
        <w:spacing w:before="20" w:after="40" w:line="276" w:lineRule="auto"/>
        <w:ind w:left="360"/>
      </w:pPr>
      <w:r>
        <w:rPr>
          <w:rFonts w:ascii="Malgun Gothic" w:hAnsi="Malgun Gothic"/>
          <w:b/>
          <w:color w:val="222222"/>
          <w:sz w:val="19"/>
        </w:rPr>
        <w:t>Step 4: 데이터 파싱:</w:t>
      </w:r>
      <w:r>
        <w:rPr>
          <w:rFonts w:ascii="Malgun Gothic" w:hAnsi="Malgun Gothic"/>
          <w:color w:val="333333"/>
          <w:sz w:val="19"/>
        </w:rPr>
        <w:t xml:space="preserve"> OnMQTTMessage의 센서값 파싱 루프에서 신규 노드 타입에 대한 스케일링 계수를 반영합니다.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007791"/>
          <w:sz w:val="23"/>
        </w:rPr>
        <w:t>5.2 커스텀 UI 위젯 및 테마 색상 수정</w:t>
      </w:r>
    </w:p>
    <w:p>
      <w:pPr>
        <w:spacing w:before="40" w:after="80" w:line="276" w:lineRule="auto"/>
      </w:pPr>
      <w:r>
        <w:rPr>
          <w:rFonts w:ascii="Malgun Gothic" w:hAnsi="Malgun Gothic"/>
          <w:color w:val="333333"/>
          <w:sz w:val="19"/>
        </w:rPr>
        <w:t>위젯 배경색, 프로그레스 바 색상, 폰트 규격은 UMain.pas의 AddSensor 및 AddControl 메서드 내부 TRectangle.Fill.Color 설정을 통해 중앙 제어됩니다. 표준 테마 컬러 팔레트를 수정하여 다크 모드 또는 고유 브랜딩 테마를 쉽게 적용할 수 있습니다.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